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9"/>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新晃县教育局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黑体" w:hAnsi="黑体" w:eastAsia="黑体" w:cs="黑体"/>
          <w:b w:val="0"/>
          <w:bCs/>
          <w:sz w:val="32"/>
          <w:szCs w:val="32"/>
        </w:rPr>
        <w:t>年度预算绩效情况的说明</w:t>
      </w:r>
    </w:p>
    <w:p w14:paraId="257D9EB6"/>
    <w:p w14:paraId="2BE10005">
      <w:pPr>
        <w:overflowPunct w:val="0"/>
        <w:spacing w:line="600" w:lineRule="exact"/>
        <w:ind w:firstLine="643" w:firstLineChars="200"/>
        <w:rPr>
          <w:rFonts w:ascii="Times New Roman" w:hAnsi="Times New Roman" w:eastAsia="楷体" w:cs="Times New Roman"/>
          <w:b/>
          <w:bCs/>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w:t>
      </w:r>
      <w:r>
        <w:rPr>
          <w:rFonts w:hint="eastAsia" w:ascii="Times New Roman" w:hAnsi="Times New Roman" w:eastAsia="仿宋_GB2312" w:cs="Times New Roman"/>
          <w:kern w:val="0"/>
          <w:sz w:val="32"/>
          <w:szCs w:val="32"/>
          <w:lang w:val="en-US" w:eastAsia="zh-CN"/>
        </w:rPr>
        <w:t>单位</w:t>
      </w:r>
      <w:r>
        <w:rPr>
          <w:rFonts w:ascii="Times New Roman" w:hAnsi="Times New Roman" w:eastAsia="仿宋_GB2312" w:cs="Times New Roman"/>
          <w:kern w:val="0"/>
          <w:sz w:val="32"/>
          <w:szCs w:val="32"/>
        </w:rPr>
        <w:t>整体支出开展绩效自评，涉及项目</w:t>
      </w:r>
      <w:r>
        <w:rPr>
          <w:rFonts w:hint="eastAsia" w:ascii="Times New Roman" w:hAnsi="Times New Roman" w:eastAsia="仿宋_GB2312" w:cs="Times New Roman"/>
          <w:kern w:val="0"/>
          <w:sz w:val="32"/>
          <w:szCs w:val="32"/>
          <w:lang w:val="en-US" w:eastAsia="zh-CN"/>
        </w:rPr>
        <w:t>48</w:t>
      </w:r>
      <w:r>
        <w:rPr>
          <w:rFonts w:ascii="Times New Roman" w:hAnsi="Times New Roman" w:eastAsia="仿宋_GB2312" w:cs="Times New Roman"/>
          <w:kern w:val="0"/>
          <w:sz w:val="32"/>
          <w:szCs w:val="32"/>
        </w:rPr>
        <w:t xml:space="preserve"> 个，共涉及资金</w:t>
      </w:r>
      <w:r>
        <w:rPr>
          <w:rFonts w:hint="eastAsia" w:ascii="仿宋_GB2312" w:hAnsi="仿宋_GB2312" w:eastAsia="仿宋_GB2312" w:cs="仿宋_GB2312"/>
          <w:sz w:val="32"/>
          <w:szCs w:val="32"/>
          <w:lang w:val="en-US" w:eastAsia="zh-CN" w:bidi="ar-SA"/>
        </w:rPr>
        <w:t>21346.38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47</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21328.38</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18</w:t>
      </w:r>
      <w:r>
        <w:rPr>
          <w:rFonts w:ascii="Times New Roman" w:hAnsi="Times New Roman" w:eastAsia="仿宋_GB2312" w:cs="Times New Roman"/>
          <w:kern w:val="0"/>
          <w:sz w:val="32"/>
          <w:szCs w:val="32"/>
        </w:rPr>
        <w:t xml:space="preserve"> 万元，占政府性基金预算支出总额的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万元，占社会保险基金预算支出总额的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b/>
          <w:bCs/>
          <w:kern w:val="0"/>
          <w:sz w:val="32"/>
          <w:szCs w:val="32"/>
        </w:rPr>
        <w:t>二是部门评价开展情况。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kern w:val="0"/>
          <w:sz w:val="32"/>
          <w:szCs w:val="32"/>
          <w:lang w:val="en-US" w:eastAsia="zh-CN"/>
        </w:rPr>
        <w:t>员额制教师工资、一次性奖金及基础绩效奖金</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中小学校舍改造（税改转移支付</w:t>
      </w:r>
      <w:r>
        <w:rPr>
          <w:rFonts w:ascii="Times New Roman" w:hAnsi="Times New Roman" w:eastAsia="仿宋_GB2312" w:cs="Times New Roman"/>
          <w:kern w:val="0"/>
          <w:sz w:val="32"/>
          <w:szCs w:val="32"/>
        </w:rPr>
        <w:t>”等</w:t>
      </w:r>
      <w:r>
        <w:rPr>
          <w:rFonts w:hint="eastAsia" w:ascii="Times New Roman" w:hAnsi="Times New Roman" w:eastAsia="仿宋_GB2312" w:cs="Times New Roman"/>
          <w:sz w:val="32"/>
          <w:szCs w:val="32"/>
          <w:lang w:val="en-US" w:eastAsia="zh-CN"/>
        </w:rPr>
        <w:t>48</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sz w:val="32"/>
          <w:szCs w:val="32"/>
          <w:lang w:val="en-US" w:eastAsia="zh-CN"/>
        </w:rPr>
        <w:t>21328.38</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18</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r>
        <w:rPr>
          <w:rFonts w:ascii="Times New Roman" w:hAnsi="Times New Roman" w:eastAsia="仿宋_GB2312" w:cs="Times New Roman"/>
          <w:b/>
          <w:bCs/>
          <w:kern w:val="0"/>
          <w:sz w:val="32"/>
          <w:szCs w:val="32"/>
        </w:rPr>
        <w:t>三是事前绩效评估开展情况。</w:t>
      </w:r>
      <w:r>
        <w:rPr>
          <w:rFonts w:ascii="Times New Roman" w:hAnsi="Times New Roman" w:eastAsia="仿宋_GB2312" w:cs="Times New Roman"/>
          <w:kern w:val="0"/>
          <w:sz w:val="32"/>
          <w:szCs w:val="32"/>
        </w:rPr>
        <w:t>组织对2024年度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个新增重大政策和</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个重大项目开展事前绩效评估，共涉及资金</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14:paraId="606A4A12">
      <w:pPr>
        <w:spacing w:line="560" w:lineRule="exact"/>
        <w:ind w:firstLine="643" w:firstLineChars="200"/>
        <w:jc w:val="left"/>
        <w:rPr>
          <w:rFonts w:hint="eastAsia" w:ascii="仿宋_GB2312" w:hAnsi="仿宋_GB2312" w:eastAsia="仿宋_GB2312" w:cs="仿宋_GB2312"/>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57035.6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2080.91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36.48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95</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”。绩效目标完成情况：一是</w:t>
      </w:r>
      <w:r>
        <w:rPr>
          <w:rFonts w:hint="eastAsia" w:ascii="仿宋_GB2312" w:hAnsi="仿宋_GB2312" w:eastAsia="仿宋_GB2312" w:cs="仿宋_GB2312"/>
          <w:sz w:val="32"/>
          <w:szCs w:val="32"/>
        </w:rPr>
        <w:t>大抓常规夯实教育提质基础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执行《怀化市提升中小学课堂教学质量方案》（怀教发〔2021〕2号）、《怀化市教育局关于印发&lt;怀化市中小学教学工作常规&gt;&lt;怀化市高三年级教学工作常规&gt;的通知》（怀教通〔2021〕5号）、《新晃侗族自治县中小学教学工作常规实施细则》（晃教字〔2021〕16号）等文件要求，常态化开展教学常规督查，督查结果及时进行通报，并与教育教学质量评价考核挂钩。切实加强备、教、批、辅、考、评等教学常规管理，学校每月常规检查记载详细，有评价结果，与教师月绩效挂钩。抓实学困生转化和优生培养，切实提高各学科“两率一分”。加强实验教学、电化教学、图书管理、危化品使用的常规管理</w:t>
      </w:r>
      <w:r>
        <w:rPr>
          <w:rFonts w:hint="eastAsia" w:ascii="仿宋_GB2312" w:hAnsi="仿宋_GB2312" w:eastAsia="仿宋_GB2312" w:cs="仿宋_GB2312"/>
          <w:sz w:val="32"/>
          <w:szCs w:val="32"/>
          <w:lang w:eastAsia="zh-CN"/>
        </w:rPr>
        <w:t>；</w:t>
      </w:r>
      <w:r>
        <w:rPr>
          <w:rFonts w:ascii="Times New Roman" w:hAnsi="Times New Roman" w:eastAsia="仿宋_GB2312" w:cs="Times New Roman"/>
          <w:sz w:val="32"/>
          <w:szCs w:val="32"/>
        </w:rPr>
        <w:t>二是</w:t>
      </w:r>
      <w:r>
        <w:rPr>
          <w:rFonts w:hint="eastAsia" w:ascii="仿宋_GB2312" w:hAnsi="仿宋_GB2312" w:eastAsia="仿宋_GB2312" w:cs="仿宋_GB2312"/>
          <w:sz w:val="32"/>
          <w:szCs w:val="32"/>
        </w:rPr>
        <w:t>衔接融通推动教育协调发展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普及普惠发展学前教育。深入推进学前教育改革创新，整体融合推进“安吉游戏”“幼小科学衔接”两项试点。启动普及普惠迎省检工作。开展幼儿园办学行为督导评估，全面提高保教质量。优质均衡发展义务教育。做好义务教育优质均衡发展迎国检各项工作，开展八个专项行动，确保达标。试点推进1+N集团化办学、城乡结对联合办学。启动特教班建设。全面推进“双减”和“五项管理”。坚持开展好艺术节、运动会、篮球赛、乒乓球赛、足球赛、科技节、学科知识竞赛等形式多样、健康向上、格调高雅的校园文化活动。普及多样发展普高教育。加大请示汇报力度，确保普高教育各方面投入，做到专款专用，优先保障项目前期费用、进度款，高效推进“徐特立”项目和教育强国项目建设。县一中加强“三横九纵”建设。深化与长郡中学等省城名校的交流合作。学习桃源一中生本课堂经验，改革集体备课制度。借助名师工作室资源优化学科组建设。恒雅中学借助恒雅教育集团的资源优势继续提升办学质量，引进“151高效课堂”。探索初高中有效衔接模式，建立明晰初三中考指标体系保障高中优质生源。（责任股室：县一中、恒雅中学、项目办、计财股、招考中心、综合教育股、教研室、教师发展中心、人事股）适应升级发展职业教育。学习洪江市经验提前做好生源保障，力争普职比向1:1靠拢。研究制定切实可行的“双师型”师资队伍建设发展规划。围绕中医药大健康产业申办中草药栽培、中医康复技术、新能源汽车维修等相关新专业，加强技能培训力度，培养“侗乡工匠”生力军。大力探索校企合作育人模式，继续加强与相关企业、高职院校的深度合作。打通中高职衔接瓶颈，继续引进高职院校资源对我县对口高考、高职单招、五年制大专联合培养、专业建设、师资培训等方面进行全面帮扶。规范支持发展民办教育。建立健全民办教育监管机构，加大依法监管力度。严格落实民办教育机构年检制度。</w:t>
      </w:r>
    </w:p>
    <w:p w14:paraId="7FF8BB0C">
      <w:pPr>
        <w:spacing w:line="560" w:lineRule="exact"/>
        <w:ind w:firstLine="640" w:firstLineChars="200"/>
        <w:jc w:val="left"/>
        <w:rPr>
          <w:rFonts w:hint="default" w:ascii="仿宋_GB2312" w:hAnsi="仿宋_GB2312" w:eastAsia="仿宋_GB2312" w:cs="仿宋_GB2312"/>
          <w:sz w:val="32"/>
          <w:szCs w:val="32"/>
          <w:lang w:val="en-US" w:eastAsia="zh-CN"/>
        </w:rPr>
      </w:pPr>
      <w:r>
        <w:rPr>
          <w:rFonts w:ascii="Times New Roman" w:hAnsi="Times New Roman" w:eastAsia="仿宋_GB2312" w:cs="Times New Roman"/>
          <w:sz w:val="32"/>
          <w:szCs w:val="32"/>
        </w:rPr>
        <w:t>发现的主要问题及原因：</w:t>
      </w:r>
      <w:r>
        <w:rPr>
          <w:rFonts w:hint="eastAsia" w:ascii="仿宋_GB2312" w:hAnsi="仿宋_GB2312" w:eastAsia="仿宋_GB2312" w:cs="仿宋_GB2312"/>
          <w:sz w:val="32"/>
          <w:szCs w:val="32"/>
          <w:lang w:val="en-US" w:eastAsia="zh-CN"/>
        </w:rPr>
        <w:t>一是单位绩效工作协调衔接机制不通畅，预算绩效管理工作是整个部门相互协调、配合的整体性工作，需要整个部门业务人员、财务人员、分管领导等协同努力才能完成，实际开展工作变成了纯财务工作，导致填报的信息不准确、资料不完整等情况，影响绩效管理工作质量</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二是</w:t>
      </w:r>
      <w:r>
        <w:rPr>
          <w:rFonts w:hint="eastAsia" w:ascii="仿宋_GB2312" w:hAnsi="仿宋_GB2312" w:eastAsia="仿宋_GB2312" w:cs="仿宋_GB2312"/>
          <w:sz w:val="32"/>
          <w:szCs w:val="32"/>
          <w:lang w:val="en-US" w:eastAsia="zh-CN"/>
        </w:rPr>
        <w:t>预算编制工作有待加强，年初预算编制项目与年末实际执行项目偏离度较大，导致预算调整数较大，且存在同一项目由于资金来源不同，重复申报的情况，影响绩效管理质量。</w:t>
      </w:r>
    </w:p>
    <w:p w14:paraId="3A3AAD28">
      <w:pPr>
        <w:spacing w:line="560" w:lineRule="exact"/>
        <w:ind w:firstLine="640" w:firstLineChars="200"/>
        <w:jc w:val="left"/>
        <w:rPr>
          <w:rFonts w:hint="eastAsia" w:ascii="仿宋_GB2312" w:hAnsi="仿宋_GB2312" w:eastAsia="仿宋_GB2312" w:cs="仿宋_GB2312"/>
          <w:sz w:val="32"/>
          <w:szCs w:val="32"/>
        </w:rPr>
      </w:pP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lang w:val="en-US" w:eastAsia="zh-CN"/>
        </w:rPr>
        <w:t>完善部门绩效管理工作机制，提高绩效工作质量，</w:t>
      </w:r>
      <w:r>
        <w:rPr>
          <w:rFonts w:hint="eastAsia" w:ascii="仿宋_GB2312" w:hAnsi="仿宋_GB2312" w:eastAsia="仿宋_GB2312" w:cs="仿宋_GB2312"/>
          <w:sz w:val="32"/>
          <w:szCs w:val="32"/>
          <w:lang w:val="en-US" w:eastAsia="zh-CN"/>
        </w:rPr>
        <w:t>建议单位根据预算绩效管理工作的各项数据来源和内容填报规范，组建绩效管理工作小组，形成业务人员填报及提供资料，财务人员审核、汇总，分管领导审批确认的格局，全链条贯通绩效管理工作质量</w:t>
      </w:r>
      <w:r>
        <w:rPr>
          <w:rFonts w:ascii="Times New Roman" w:hAnsi="Times New Roman" w:eastAsia="仿宋_GB2312" w:cs="Times New Roman"/>
          <w:sz w:val="32"/>
          <w:szCs w:val="32"/>
        </w:rPr>
        <w:t>；二是</w:t>
      </w:r>
      <w:r>
        <w:rPr>
          <w:rFonts w:hint="eastAsia" w:ascii="仿宋_GB2312" w:hAnsi="仿宋_GB2312" w:eastAsia="仿宋_GB2312" w:cs="仿宋_GB2312"/>
          <w:sz w:val="32"/>
          <w:szCs w:val="32"/>
        </w:rPr>
        <w:t>科学合理编制预算，</w:t>
      </w:r>
      <w:r>
        <w:rPr>
          <w:rFonts w:hint="eastAsia" w:ascii="仿宋_GB2312" w:hAnsi="仿宋_GB2312" w:eastAsia="仿宋_GB2312" w:cs="仿宋_GB2312"/>
          <w:sz w:val="32"/>
          <w:szCs w:val="32"/>
          <w:lang w:val="en-US" w:eastAsia="zh-CN"/>
        </w:rPr>
        <w:t>奠定绩效管理基石，</w:t>
      </w:r>
      <w:r>
        <w:rPr>
          <w:rFonts w:hint="eastAsia" w:ascii="仿宋_GB2312" w:hAnsi="仿宋_GB2312" w:eastAsia="仿宋_GB2312" w:cs="仿宋_GB2312"/>
          <w:sz w:val="32"/>
          <w:szCs w:val="32"/>
        </w:rPr>
        <w:t>加强新《预算法》、《政府会计制度》等学习培训，规范部门预算收支核算，制定和完善基本支出、项目支出等各项支出标准，严格按项目和进度执行预算，增强预算的约束力和严肃性。落实预算执行分析，及时了解预算执行差异，合理调整、纠正预算执行偏差，切实提高部门预算收支管理水平。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482EC567">
      <w:pPr>
        <w:spacing w:line="560" w:lineRule="exact"/>
        <w:jc w:val="left"/>
        <w:rPr>
          <w:rFonts w:ascii="Times New Roman" w:hAnsi="Times New Roman" w:eastAsia="仿宋_GB2312" w:cs="Times New Roman"/>
          <w:bCs/>
          <w:sz w:val="32"/>
          <w:szCs w:val="32"/>
        </w:rPr>
      </w:pPr>
      <w:r>
        <w:rPr>
          <w:rFonts w:ascii="Times New Roman" w:hAnsi="Times New Roman" w:eastAsia="仿宋_GB2312" w:cs="Times New Roman"/>
          <w:b/>
          <w:bCs/>
          <w:kern w:val="0"/>
          <w:sz w:val="32"/>
          <w:szCs w:val="32"/>
        </w:rPr>
        <w:t>二是部门评价结果。</w:t>
      </w:r>
      <w:r>
        <w:rPr>
          <w:rFonts w:hint="eastAsia" w:ascii="Times New Roman" w:hAnsi="Times New Roman" w:eastAsia="仿宋_GB2312" w:cs="Times New Roman"/>
          <w:sz w:val="32"/>
          <w:szCs w:val="32"/>
          <w:lang w:val="en-US" w:eastAsia="zh-CN"/>
        </w:rPr>
        <w:t>48个</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21346.38</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15903.05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74.5</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95</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sz w:val="32"/>
          <w:szCs w:val="32"/>
        </w:rPr>
        <w:t>绩效工作协调机制不畅，业务与财务衔接不足，导致绩效信息填报不够准确、完整</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预算编制与实际执行存在偏差，部分项目因资金来源不同出现重复申报，影响绩效管理质量</w:t>
      </w: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rPr>
        <w:t>建立绩效管理工作小组，明确业务、财务、领导职责，提升绩效管理整体性</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加强预算编制培训，提高预算前瞻性和准确性，避免重复申报和执行偏差</w:t>
      </w:r>
      <w:r>
        <w:rPr>
          <w:rFonts w:ascii="Times New Roman" w:hAnsi="Times New Roman" w:eastAsia="仿宋_GB2312" w:cs="Times New Roman"/>
          <w:kern w:val="0"/>
          <w:sz w:val="32"/>
          <w:szCs w:val="32"/>
        </w:rPr>
        <w:t>。</w:t>
      </w:r>
      <w:r>
        <w:rPr>
          <w:rFonts w:ascii="Times New Roman" w:hAnsi="Times New Roman" w:eastAsia="仿宋_GB2312" w:cs="Times New Roman"/>
          <w:b/>
          <w:bCs/>
          <w:kern w:val="0"/>
          <w:sz w:val="32"/>
          <w:szCs w:val="32"/>
        </w:rPr>
        <w:t>三是事前绩效评估结果。</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个重大项目事前绩效评估，其中，</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个项目评估通过，涉及资金</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个项目评估不通过，涉及资金</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288BED59">
      <w:pPr>
        <w:pStyle w:val="9"/>
        <w:overflowPunct w:val="0"/>
        <w:autoSpaceDE/>
        <w:autoSpaceDN/>
        <w:spacing w:line="600" w:lineRule="exact"/>
        <w:ind w:firstLine="643" w:firstLineChars="200"/>
        <w:jc w:val="both"/>
        <w:rPr>
          <w:rFonts w:ascii="Times New Roman" w:hAnsi="Times New Roman" w:eastAsia="仿宋_GB2312" w:cs="Times New Roman"/>
          <w:color w:val="auto"/>
          <w:sz w:val="32"/>
          <w:szCs w:val="32"/>
        </w:rPr>
      </w:pPr>
      <w:r>
        <w:rPr>
          <w:rFonts w:ascii="Times New Roman" w:hAnsi="Times New Roman" w:eastAsia="楷体_GB2312" w:cs="Times New Roman"/>
          <w:b/>
          <w:bCs/>
          <w:color w:val="auto"/>
          <w:kern w:val="2"/>
          <w:sz w:val="32"/>
          <w:szCs w:val="32"/>
        </w:rPr>
        <w:t>（三）评价结果应用情况。</w:t>
      </w:r>
      <w:bookmarkStart w:id="0" w:name="_GoBack"/>
      <w:r>
        <w:rPr>
          <w:rFonts w:hint="eastAsia" w:ascii="Times New Roman" w:hAnsi="Times New Roman" w:eastAsia="仿宋_GB2312" w:cs="Times New Roman"/>
          <w:color w:val="auto"/>
          <w:sz w:val="32"/>
          <w:szCs w:val="32"/>
        </w:rPr>
        <w:t>2024年度绩效自评结果将作为2025年度预算安排和资金管理的重要依据。我局将优化支出结构，强化项目预算与绩效目标的匹配度，完善内部控制制度，提升资金使用效益。同时，将加强绩效结果与预算安排的联动，推动绩效管理常态化、制度化。</w:t>
      </w:r>
    </w:p>
    <w:bookmarkEnd w:id="0"/>
    <w:p w14:paraId="79E83430">
      <w:pPr>
        <w:pStyle w:val="9"/>
        <w:jc w:val="center"/>
        <w:rPr>
          <w:rFonts w:ascii="Times New Roman" w:hAnsi="Times New Roman" w:cs="Times New Roman"/>
          <w:sz w:val="72"/>
          <w:szCs w:val="72"/>
        </w:rPr>
      </w:pPr>
    </w:p>
    <w:p w14:paraId="519298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072E19D4"/>
    <w:rsid w:val="1D8200CE"/>
    <w:rsid w:val="382A7B8D"/>
    <w:rsid w:val="3AE91347"/>
    <w:rsid w:val="429A62A4"/>
    <w:rsid w:val="489A18C8"/>
    <w:rsid w:val="506374B2"/>
    <w:rsid w:val="5B59067D"/>
    <w:rsid w:val="727342FE"/>
    <w:rsid w:val="7968526D"/>
    <w:rsid w:val="7BB26C07"/>
    <w:rsid w:val="7E8C3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spacing w:after="200"/>
      <w:ind w:firstLine="100" w:firstLineChars="100"/>
      <w:jc w:val="center"/>
    </w:pPr>
    <w:rPr>
      <w:rFonts w:ascii="??_GB2312" w:hAnsi="??_GB2312" w:cs="??_GB2312"/>
      <w:sz w:val="24"/>
      <w:szCs w:val="24"/>
    </w:rPr>
  </w:style>
  <w:style w:type="paragraph" w:styleId="3">
    <w:name w:val="Body Text"/>
    <w:basedOn w:val="1"/>
    <w:qFormat/>
    <w:uiPriority w:val="99"/>
    <w:pPr>
      <w:spacing w:after="12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footnote text"/>
    <w:basedOn w:val="1"/>
    <w:next w:val="5"/>
    <w:semiHidden/>
    <w:qFormat/>
    <w:uiPriority w:val="0"/>
    <w:pPr>
      <w:snapToGrid w:val="0"/>
      <w:jc w:val="left"/>
    </w:pPr>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2637</Words>
  <Characters>2752</Characters>
  <Lines>0</Lines>
  <Paragraphs>0</Paragraphs>
  <TotalTime>6</TotalTime>
  <ScaleCrop>false</ScaleCrop>
  <LinksUpToDate>false</LinksUpToDate>
  <CharactersWithSpaces>2759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水墨年华</cp:lastModifiedBy>
  <dcterms:modified xsi:type="dcterms:W3CDTF">2025-09-17T10:04:51Z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9D554452693643BF90820D0446111BFD_13</vt:lpwstr>
  </property>
  <property fmtid="{D5CDD505-2E9C-101B-9397-08002B2CF9AE}" pid="4" name="KSOTemplateDocerSaveRecord">
    <vt:lpwstr>eyJoZGlkIjoiMGIwZDdmNzFhNzNhMTI3MzMzNGUyMzUxOWRiZTI1MTQiLCJ1c2VySWQiOiIxMjMwMDg0Njg3In0=</vt:lpwstr>
  </property>
</Properties>
</file>